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69"/>
        </w:tabs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北海市司法局“谁执法谁普法”任务措施清单</w:t>
      </w:r>
    </w:p>
    <w:p>
      <w:pPr>
        <w:tabs>
          <w:tab w:val="left" w:pos="2169"/>
        </w:tabs>
        <w:adjustRightInd w:val="0"/>
        <w:snapToGrid w:val="0"/>
        <w:spacing w:line="560" w:lineRule="exact"/>
        <w:jc w:val="left"/>
        <w:rPr>
          <w:rFonts w:hint="eastAsia" w:ascii="仿宋_GB2312" w:eastAsia="仿宋_GB2312"/>
          <w:color w:val="000000"/>
          <w:sz w:val="24"/>
          <w:szCs w:val="24"/>
        </w:rPr>
      </w:pPr>
    </w:p>
    <w:p>
      <w:pPr>
        <w:tabs>
          <w:tab w:val="left" w:pos="2169"/>
        </w:tabs>
        <w:adjustRightInd w:val="0"/>
        <w:snapToGrid w:val="0"/>
        <w:spacing w:line="560" w:lineRule="exact"/>
        <w:jc w:val="lef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填报单位（签章）：</w:t>
      </w: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北海市司法局</w:t>
      </w:r>
      <w:r>
        <w:rPr>
          <w:rFonts w:hint="eastAsia" w:ascii="仿宋_GB2312" w:eastAsia="仿宋_GB2312"/>
          <w:color w:val="000000"/>
          <w:sz w:val="24"/>
          <w:szCs w:val="24"/>
        </w:rPr>
        <w:t xml:space="preserve">                                                        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z w:val="24"/>
          <w:szCs w:val="24"/>
        </w:rPr>
        <w:t>填表日期：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2020</w:t>
      </w:r>
      <w:r>
        <w:rPr>
          <w:rFonts w:hint="eastAsia" w:ascii="仿宋_GB2312" w:eastAsia="仿宋_GB2312"/>
          <w:color w:val="000000"/>
          <w:sz w:val="24"/>
          <w:szCs w:val="24"/>
        </w:rPr>
        <w:t>年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24"/>
          <w:szCs w:val="24"/>
        </w:rPr>
        <w:t>月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18</w:t>
      </w:r>
      <w:r>
        <w:rPr>
          <w:rFonts w:hint="eastAsia" w:ascii="仿宋_GB2312" w:eastAsia="仿宋_GB2312"/>
          <w:color w:val="000000"/>
          <w:sz w:val="24"/>
          <w:szCs w:val="24"/>
        </w:rPr>
        <w:t>日</w:t>
      </w:r>
    </w:p>
    <w:tbl>
      <w:tblPr>
        <w:tblStyle w:val="5"/>
        <w:tblW w:w="15137" w:type="dxa"/>
        <w:tblInd w:w="-5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648"/>
        <w:gridCol w:w="1387"/>
        <w:gridCol w:w="2175"/>
        <w:gridCol w:w="3000"/>
        <w:gridCol w:w="1488"/>
        <w:gridCol w:w="1225"/>
        <w:gridCol w:w="937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lang w:eastAsia="zh-CN"/>
              </w:rPr>
              <w:t>普法内容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</w:rPr>
              <w:t>普法对象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</w:rPr>
              <w:t>主要措施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lang w:eastAsia="zh-CN"/>
              </w:rPr>
              <w:t>具体活动内容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lang w:eastAsia="zh-CN"/>
              </w:rPr>
              <w:t>（线上、线下、场次）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lang w:eastAsia="zh-CN"/>
              </w:rPr>
              <w:t>完成时限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lang w:eastAsia="zh-CN"/>
              </w:rPr>
              <w:t>责任部门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lang w:eastAsia="zh-CN"/>
              </w:rPr>
              <w:t>责任人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6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宪法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eastAsia="zh-CN"/>
              </w:rPr>
              <w:t>》</w:t>
            </w:r>
          </w:p>
        </w:tc>
        <w:tc>
          <w:tcPr>
            <w:tcW w:w="13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eastAsia="zh-CN"/>
              </w:rPr>
              <w:t>全市公民</w:t>
            </w:r>
          </w:p>
        </w:tc>
        <w:tc>
          <w:tcPr>
            <w:tcW w:w="21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eastAsia="zh-CN"/>
              </w:rPr>
              <w:t>举办“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default" w:ascii="Calibri" w:hAnsi="Calibri" w:eastAsia="仿宋_GB2312" w:cs="Calibri"/>
                <w:color w:val="000000"/>
                <w:sz w:val="22"/>
                <w:szCs w:val="22"/>
                <w:lang w:val="en-US" w:eastAsia="zh-CN"/>
              </w:rPr>
              <w:t>·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4”宪法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宣传周活动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eastAsia="zh-CN"/>
              </w:rPr>
              <w:t>开展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1次专题活动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2020年11月30日</w:t>
            </w:r>
          </w:p>
        </w:tc>
        <w:tc>
          <w:tcPr>
            <w:tcW w:w="12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eastAsia="zh-CN"/>
              </w:rPr>
              <w:t>普法与依法治理科</w:t>
            </w:r>
          </w:p>
        </w:tc>
        <w:tc>
          <w:tcPr>
            <w:tcW w:w="9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  <w:t>李红梅</w:t>
            </w:r>
          </w:p>
        </w:tc>
        <w:tc>
          <w:tcPr>
            <w:tcW w:w="15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  <w:t>0779-3156537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</w:pPr>
          </w:p>
        </w:tc>
        <w:tc>
          <w:tcPr>
            <w:tcW w:w="2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eastAsia="zh-CN"/>
              </w:rPr>
              <w:t>举办“办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71-5”宪法宣传周活动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eastAsia="zh-CN"/>
              </w:rPr>
              <w:t>开展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1次集中宣传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2020年12月31日</w:t>
            </w:r>
          </w:p>
        </w:tc>
        <w:tc>
          <w:tcPr>
            <w:tcW w:w="12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vertAlign w:val="baseline"/>
              </w:rPr>
            </w:pPr>
          </w:p>
        </w:tc>
        <w:tc>
          <w:tcPr>
            <w:tcW w:w="93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vertAlign w:val="baseline"/>
              </w:rPr>
            </w:pPr>
          </w:p>
        </w:tc>
        <w:tc>
          <w:tcPr>
            <w:tcW w:w="15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7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648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《中华人民共和国</w:t>
            </w:r>
            <w:r>
              <w:rPr>
                <w:rFonts w:hint="eastAsia" w:ascii="仿宋_GB2312" w:eastAsia="仿宋_GB2312"/>
                <w:color w:val="000000"/>
                <w:sz w:val="22"/>
                <w:lang w:eastAsia="zh-CN"/>
              </w:rPr>
              <w:t>仲裁</w:t>
            </w:r>
            <w:r>
              <w:rPr>
                <w:rFonts w:hint="eastAsia" w:ascii="仿宋_GB2312" w:eastAsia="仿宋_GB2312"/>
                <w:color w:val="000000"/>
                <w:sz w:val="22"/>
              </w:rPr>
              <w:t>法》、仲裁规则</w:t>
            </w:r>
          </w:p>
        </w:tc>
        <w:tc>
          <w:tcPr>
            <w:tcW w:w="1387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left"/>
              <w:rPr>
                <w:rFonts w:hint="eastAsia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全市党政机关、企事业单位、社会团体、社会公众</w:t>
            </w:r>
          </w:p>
        </w:tc>
        <w:tc>
          <w:tcPr>
            <w:tcW w:w="2175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开展仲裁政策法律法规专题宣传</w:t>
            </w:r>
          </w:p>
        </w:tc>
        <w:tc>
          <w:tcPr>
            <w:tcW w:w="3000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制作《仲裁指南》2万册</w:t>
            </w:r>
            <w:r>
              <w:rPr>
                <w:rFonts w:hint="eastAsia" w:ascii="仿宋_GB2312" w:eastAsia="仿宋_GB2312"/>
                <w:color w:val="000000"/>
                <w:sz w:val="22"/>
                <w:lang w:eastAsia="zh-CN"/>
              </w:rPr>
              <w:t>发放宣传</w:t>
            </w:r>
          </w:p>
        </w:tc>
        <w:tc>
          <w:tcPr>
            <w:tcW w:w="1488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2020.12.31前</w:t>
            </w:r>
          </w:p>
        </w:tc>
        <w:tc>
          <w:tcPr>
            <w:tcW w:w="1225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仲裁</w:t>
            </w:r>
          </w:p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委员会</w:t>
            </w:r>
          </w:p>
        </w:tc>
        <w:tc>
          <w:tcPr>
            <w:tcW w:w="937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莫剑平</w:t>
            </w:r>
          </w:p>
        </w:tc>
        <w:tc>
          <w:tcPr>
            <w:tcW w:w="1550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2038782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7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648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《重大行政决策程序暂行条例》</w:t>
            </w:r>
          </w:p>
        </w:tc>
        <w:tc>
          <w:tcPr>
            <w:tcW w:w="1387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全</w:t>
            </w:r>
            <w:r>
              <w:rPr>
                <w:rFonts w:hint="eastAsia" w:ascii="仿宋_GB2312" w:eastAsia="仿宋_GB2312"/>
                <w:color w:val="000000"/>
                <w:sz w:val="22"/>
                <w:lang w:eastAsia="zh-CN"/>
              </w:rPr>
              <w:t>市</w:t>
            </w:r>
            <w:r>
              <w:rPr>
                <w:rFonts w:hint="eastAsia" w:ascii="仿宋_GB2312" w:eastAsia="仿宋_GB2312"/>
                <w:color w:val="000000"/>
                <w:sz w:val="22"/>
              </w:rPr>
              <w:t>党政</w:t>
            </w:r>
          </w:p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机关</w:t>
            </w:r>
          </w:p>
        </w:tc>
        <w:tc>
          <w:tcPr>
            <w:tcW w:w="217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lang w:eastAsia="zh-CN"/>
              </w:rPr>
              <w:t>转发学习</w:t>
            </w:r>
          </w:p>
          <w:p>
            <w:pPr>
              <w:numPr>
                <w:ilvl w:val="0"/>
                <w:numId w:val="1"/>
              </w:num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lang w:eastAsia="zh-CN"/>
              </w:rPr>
              <w:t>培训学习</w:t>
            </w:r>
          </w:p>
        </w:tc>
        <w:tc>
          <w:tcPr>
            <w:tcW w:w="3000" w:type="dxa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169"/>
              </w:tabs>
              <w:adjustRightInd w:val="0"/>
              <w:snapToGrid w:val="0"/>
              <w:spacing w:line="300" w:lineRule="exact"/>
              <w:jc w:val="both"/>
              <w:rPr>
                <w:rFonts w:hint="eastAsia" w:ascii="仿宋_GB2312" w:eastAsia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lang w:eastAsia="zh-CN"/>
              </w:rPr>
              <w:t>通过</w:t>
            </w:r>
            <w:r>
              <w:rPr>
                <w:rFonts w:hint="eastAsia" w:ascii="仿宋_GB2312" w:eastAsia="仿宋_GB2312"/>
                <w:color w:val="000000"/>
                <w:sz w:val="22"/>
                <w:lang w:val="en-US" w:eastAsia="zh-CN"/>
              </w:rPr>
              <w:t>市委全面依法治市委员会办公室转发各有关单位学习并贯彻落实；</w:t>
            </w:r>
          </w:p>
          <w:p>
            <w:pPr>
              <w:numPr>
                <w:ilvl w:val="0"/>
                <w:numId w:val="2"/>
              </w:numPr>
              <w:tabs>
                <w:tab w:val="left" w:pos="2169"/>
              </w:tabs>
              <w:adjustRightInd w:val="0"/>
              <w:snapToGrid w:val="0"/>
              <w:spacing w:line="300" w:lineRule="exact"/>
              <w:jc w:val="both"/>
              <w:rPr>
                <w:rFonts w:hint="default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lang w:val="en-US" w:eastAsia="zh-CN"/>
              </w:rPr>
              <w:t>协调将培训学习列入市委全面依法治市委员会办公室培训班课程</w:t>
            </w:r>
          </w:p>
        </w:tc>
        <w:tc>
          <w:tcPr>
            <w:tcW w:w="1488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lang w:val="en-US" w:eastAsia="zh-CN"/>
              </w:rPr>
              <w:t>2020年12月31日</w:t>
            </w:r>
          </w:p>
        </w:tc>
        <w:tc>
          <w:tcPr>
            <w:tcW w:w="1225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lang w:eastAsia="zh-CN"/>
              </w:rPr>
              <w:t>政府法律事务科</w:t>
            </w:r>
          </w:p>
        </w:tc>
        <w:tc>
          <w:tcPr>
            <w:tcW w:w="937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lang w:eastAsia="zh-CN"/>
              </w:rPr>
              <w:t>冯日阳</w:t>
            </w:r>
          </w:p>
        </w:tc>
        <w:tc>
          <w:tcPr>
            <w:tcW w:w="1550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lang w:val="en-US" w:eastAsia="zh-CN"/>
              </w:rPr>
              <w:t>0779-3156768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7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648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《广西壮族自治区重大行政决策程序规定》</w:t>
            </w:r>
          </w:p>
        </w:tc>
        <w:tc>
          <w:tcPr>
            <w:tcW w:w="1387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全</w:t>
            </w:r>
            <w:r>
              <w:rPr>
                <w:rFonts w:hint="eastAsia" w:ascii="仿宋_GB2312" w:eastAsia="仿宋_GB2312"/>
                <w:color w:val="000000"/>
                <w:sz w:val="22"/>
                <w:lang w:eastAsia="zh-CN"/>
              </w:rPr>
              <w:t>市</w:t>
            </w:r>
            <w:r>
              <w:rPr>
                <w:rFonts w:hint="eastAsia" w:ascii="仿宋_GB2312" w:eastAsia="仿宋_GB2312"/>
                <w:color w:val="000000"/>
                <w:sz w:val="22"/>
              </w:rPr>
              <w:t>党政</w:t>
            </w:r>
          </w:p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机关</w:t>
            </w:r>
          </w:p>
        </w:tc>
        <w:tc>
          <w:tcPr>
            <w:tcW w:w="2175" w:type="dxa"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lang w:eastAsia="zh-CN"/>
              </w:rPr>
              <w:t>转发学习</w:t>
            </w:r>
          </w:p>
          <w:p>
            <w:pPr>
              <w:numPr>
                <w:ilvl w:val="0"/>
                <w:numId w:val="3"/>
              </w:num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lang w:eastAsia="zh-CN"/>
              </w:rPr>
              <w:t>培训学习</w:t>
            </w:r>
          </w:p>
        </w:tc>
        <w:tc>
          <w:tcPr>
            <w:tcW w:w="300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169"/>
              </w:tabs>
              <w:adjustRightInd w:val="0"/>
              <w:snapToGrid w:val="0"/>
              <w:spacing w:line="300" w:lineRule="exact"/>
              <w:jc w:val="both"/>
              <w:rPr>
                <w:rFonts w:hint="eastAsia" w:ascii="仿宋_GB2312" w:eastAsia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lang w:val="en-US" w:eastAsia="zh-CN"/>
              </w:rPr>
              <w:t>1、</w:t>
            </w:r>
            <w:r>
              <w:rPr>
                <w:rFonts w:hint="eastAsia" w:ascii="仿宋_GB2312" w:eastAsia="仿宋_GB2312"/>
                <w:color w:val="000000"/>
                <w:sz w:val="22"/>
                <w:lang w:eastAsia="zh-CN"/>
              </w:rPr>
              <w:t>通过</w:t>
            </w:r>
            <w:r>
              <w:rPr>
                <w:rFonts w:hint="eastAsia" w:ascii="仿宋_GB2312" w:eastAsia="仿宋_GB2312"/>
                <w:color w:val="000000"/>
                <w:sz w:val="22"/>
                <w:lang w:val="en-US" w:eastAsia="zh-CN"/>
              </w:rPr>
              <w:t>市委全面依法治市委员会办公室转发各有关单位学习并贯彻落实；</w:t>
            </w:r>
          </w:p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both"/>
              <w:rPr>
                <w:rFonts w:hint="default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lang w:val="en-US" w:eastAsia="zh-CN"/>
              </w:rPr>
              <w:t>2、协调将培训学习列入市委全面依法治市委员会办公室培训班课程</w:t>
            </w:r>
          </w:p>
        </w:tc>
        <w:tc>
          <w:tcPr>
            <w:tcW w:w="1488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lang w:val="en-US" w:eastAsia="zh-CN"/>
              </w:rPr>
              <w:t>2020年12月31日</w:t>
            </w:r>
          </w:p>
        </w:tc>
        <w:tc>
          <w:tcPr>
            <w:tcW w:w="1225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lang w:eastAsia="zh-CN"/>
              </w:rPr>
              <w:t>政府法律事务科</w:t>
            </w:r>
          </w:p>
        </w:tc>
        <w:tc>
          <w:tcPr>
            <w:tcW w:w="937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lang w:eastAsia="zh-CN"/>
              </w:rPr>
              <w:t>冯日阳</w:t>
            </w:r>
          </w:p>
        </w:tc>
        <w:tc>
          <w:tcPr>
            <w:tcW w:w="1550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lang w:val="en-US" w:eastAsia="zh-CN"/>
              </w:rPr>
              <w:t>0779-3156768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</w:pPr>
    </w:p>
    <w:tbl>
      <w:tblPr>
        <w:tblStyle w:val="5"/>
        <w:tblW w:w="15577" w:type="dxa"/>
        <w:tblInd w:w="-7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931"/>
        <w:gridCol w:w="1373"/>
        <w:gridCol w:w="2296"/>
        <w:gridCol w:w="3069"/>
        <w:gridCol w:w="1489"/>
        <w:gridCol w:w="923"/>
        <w:gridCol w:w="1004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2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lang w:eastAsia="zh-CN"/>
              </w:rPr>
              <w:t>普法内容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</w:rPr>
              <w:t>普法对象</w:t>
            </w: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</w:rPr>
              <w:t>主要措施</w:t>
            </w:r>
          </w:p>
        </w:tc>
        <w:tc>
          <w:tcPr>
            <w:tcW w:w="3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lang w:eastAsia="zh-CN"/>
              </w:rPr>
              <w:t>具体活动内容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lang w:eastAsia="zh-CN"/>
              </w:rPr>
              <w:t>（线上、线下、场次）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lang w:eastAsia="zh-CN"/>
              </w:rPr>
              <w:t>完成时限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lang w:eastAsia="zh-CN"/>
              </w:rPr>
              <w:t>责任部门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lang w:eastAsia="zh-CN"/>
              </w:rPr>
              <w:t>责任人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931" w:type="dxa"/>
            <w:vMerge w:val="restart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《社区矫正法》</w:t>
            </w:r>
          </w:p>
        </w:tc>
        <w:tc>
          <w:tcPr>
            <w:tcW w:w="1373" w:type="dxa"/>
            <w:vMerge w:val="restart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刑罚执行机关、社区矫正参与单位、社区矫正对象、社会公众</w:t>
            </w:r>
          </w:p>
        </w:tc>
        <w:tc>
          <w:tcPr>
            <w:tcW w:w="2296" w:type="dxa"/>
            <w:vMerge w:val="restart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开展《社区矫正法》宣传活动</w:t>
            </w:r>
          </w:p>
        </w:tc>
        <w:tc>
          <w:tcPr>
            <w:tcW w:w="3069" w:type="dxa"/>
            <w:vMerge w:val="restart"/>
            <w:vAlign w:val="center"/>
          </w:tcPr>
          <w:p>
            <w:pPr>
              <w:numPr>
                <w:ilvl w:val="0"/>
                <w:numId w:val="4"/>
              </w:numPr>
              <w:tabs>
                <w:tab w:val="left" w:pos="2169"/>
              </w:tabs>
              <w:adjustRightInd w:val="0"/>
              <w:snapToGrid w:val="0"/>
              <w:spacing w:line="300" w:lineRule="exact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举办全市远程培训；</w:t>
            </w:r>
          </w:p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ind w:firstLine="0"/>
              <w:rPr>
                <w:rFonts w:ascii="仿宋_GB2312" w:eastAsia="仿宋_GB2312"/>
                <w:bCs/>
                <w:color w:val="00000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2、</w:t>
            </w:r>
            <w:r>
              <w:rPr>
                <w:rFonts w:hint="eastAsia" w:ascii="仿宋_GB2312" w:eastAsia="仿宋_GB2312"/>
                <w:bCs/>
                <w:color w:val="000000"/>
                <w:sz w:val="22"/>
              </w:rPr>
              <w:t>开展法律宣传、法律服务；</w:t>
            </w:r>
            <w:r>
              <w:rPr>
                <w:rFonts w:ascii="仿宋_GB2312" w:eastAsia="仿宋_GB2312"/>
                <w:bCs/>
                <w:color w:val="000000"/>
                <w:sz w:val="22"/>
              </w:rPr>
              <w:t>3、</w:t>
            </w:r>
            <w:r>
              <w:rPr>
                <w:rFonts w:hint="eastAsia" w:ascii="仿宋_GB2312" w:eastAsia="仿宋_GB2312"/>
                <w:bCs/>
                <w:color w:val="000000"/>
                <w:sz w:val="22"/>
              </w:rPr>
              <w:t>开展法治文化、文艺作品展播；</w:t>
            </w:r>
          </w:p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ind w:firstLine="0"/>
              <w:rPr>
                <w:rFonts w:ascii="仿宋_GB2312" w:eastAsia="仿宋_GB2312"/>
                <w:bCs/>
                <w:color w:val="000000"/>
                <w:sz w:val="22"/>
              </w:rPr>
            </w:pPr>
            <w:r>
              <w:rPr>
                <w:rFonts w:ascii="仿宋_GB2312" w:eastAsia="仿宋_GB2312"/>
                <w:bCs/>
                <w:color w:val="000000"/>
                <w:sz w:val="22"/>
              </w:rPr>
              <w:t>4、</w:t>
            </w:r>
            <w:r>
              <w:rPr>
                <w:rFonts w:hint="eastAsia" w:ascii="仿宋_GB2312" w:eastAsia="仿宋_GB2312"/>
                <w:bCs/>
                <w:color w:val="000000"/>
                <w:sz w:val="22"/>
              </w:rPr>
              <w:t>开展专栏专版专题宣传；</w:t>
            </w:r>
          </w:p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ind w:firstLine="0"/>
              <w:rPr>
                <w:rFonts w:ascii="仿宋_GB2312" w:eastAsia="仿宋_GB2312"/>
                <w:bCs/>
                <w:color w:val="000000"/>
                <w:sz w:val="22"/>
              </w:rPr>
            </w:pPr>
            <w:r>
              <w:rPr>
                <w:rFonts w:ascii="仿宋_GB2312" w:eastAsia="仿宋_GB2312"/>
                <w:bCs/>
                <w:color w:val="000000"/>
                <w:sz w:val="22"/>
              </w:rPr>
              <w:t>5、</w:t>
            </w:r>
            <w:r>
              <w:rPr>
                <w:rFonts w:hint="eastAsia" w:ascii="仿宋_GB2312" w:eastAsia="仿宋_GB2312"/>
                <w:bCs/>
                <w:color w:val="000000"/>
                <w:sz w:val="22"/>
              </w:rPr>
              <w:t>开展《社区矫正法》网络知识竞答；</w:t>
            </w:r>
          </w:p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ind w:firstLine="0" w:firstLineChars="0"/>
              <w:rPr>
                <w:rFonts w:hint="default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color w:val="000000"/>
                <w:sz w:val="22"/>
              </w:rPr>
              <w:t>6、</w:t>
            </w:r>
            <w:r>
              <w:rPr>
                <w:rFonts w:hint="eastAsia" w:ascii="仿宋_GB2312" w:eastAsia="仿宋_GB2312"/>
                <w:bCs/>
                <w:color w:val="000000"/>
                <w:sz w:val="22"/>
              </w:rPr>
              <w:t>组织《社区矫正法》学习研讨</w:t>
            </w:r>
            <w:r>
              <w:rPr>
                <w:rFonts w:hint="eastAsia" w:ascii="仿宋_GB2312" w:eastAsia="仿宋_GB2312"/>
                <w:color w:val="000000"/>
                <w:sz w:val="22"/>
              </w:rPr>
              <w:t>。</w:t>
            </w:r>
          </w:p>
        </w:tc>
        <w:tc>
          <w:tcPr>
            <w:tcW w:w="1489" w:type="dxa"/>
            <w:vMerge w:val="restart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2020年12月31日</w:t>
            </w:r>
          </w:p>
        </w:tc>
        <w:tc>
          <w:tcPr>
            <w:tcW w:w="923" w:type="dxa"/>
            <w:vMerge w:val="restart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社区矫正管理科</w:t>
            </w:r>
          </w:p>
        </w:tc>
        <w:tc>
          <w:tcPr>
            <w:tcW w:w="1004" w:type="dxa"/>
            <w:vMerge w:val="restart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李春媚</w:t>
            </w:r>
          </w:p>
        </w:tc>
        <w:tc>
          <w:tcPr>
            <w:tcW w:w="1569" w:type="dxa"/>
            <w:vMerge w:val="restart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0779-3156567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9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</w:pPr>
          </w:p>
        </w:tc>
        <w:tc>
          <w:tcPr>
            <w:tcW w:w="29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</w:pPr>
          </w:p>
        </w:tc>
        <w:tc>
          <w:tcPr>
            <w:tcW w:w="13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</w:pPr>
          </w:p>
        </w:tc>
        <w:tc>
          <w:tcPr>
            <w:tcW w:w="22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eastAsia="zh-CN"/>
              </w:rPr>
              <w:t>举办“办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71-5”宪法宣传周活动</w:t>
            </w:r>
          </w:p>
        </w:tc>
        <w:tc>
          <w:tcPr>
            <w:tcW w:w="30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2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vertAlign w:val="baseline"/>
              </w:rPr>
            </w:pPr>
          </w:p>
        </w:tc>
        <w:tc>
          <w:tcPr>
            <w:tcW w:w="100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vertAlign w:val="baseline"/>
              </w:rPr>
            </w:pPr>
          </w:p>
        </w:tc>
        <w:tc>
          <w:tcPr>
            <w:tcW w:w="156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9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931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《中华人民共和国人民调解法》</w:t>
            </w:r>
          </w:p>
        </w:tc>
        <w:tc>
          <w:tcPr>
            <w:tcW w:w="1373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全市党政机关、企事业单位、社会团体、社会公众</w:t>
            </w:r>
          </w:p>
        </w:tc>
        <w:tc>
          <w:tcPr>
            <w:tcW w:w="2296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开展《人民调解法》宣传专项活动； </w:t>
            </w:r>
          </w:p>
        </w:tc>
        <w:tc>
          <w:tcPr>
            <w:tcW w:w="3069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1、开展一次专题宣传活动，印发一批宣传资料。</w:t>
            </w:r>
          </w:p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2、举办一期人民调解专题新闻发布会</w:t>
            </w:r>
          </w:p>
        </w:tc>
        <w:tc>
          <w:tcPr>
            <w:tcW w:w="1489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2020年12月31日</w:t>
            </w:r>
          </w:p>
        </w:tc>
        <w:tc>
          <w:tcPr>
            <w:tcW w:w="923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人民参与和促进法治科</w:t>
            </w:r>
          </w:p>
        </w:tc>
        <w:tc>
          <w:tcPr>
            <w:tcW w:w="1004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吴燕东</w:t>
            </w:r>
          </w:p>
        </w:tc>
        <w:tc>
          <w:tcPr>
            <w:tcW w:w="1569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0779-</w:t>
            </w:r>
            <w:r>
              <w:rPr>
                <w:rFonts w:hint="eastAsia" w:ascii="仿宋_GB2312" w:eastAsia="仿宋_GB2312"/>
                <w:color w:val="000000"/>
                <w:sz w:val="22"/>
              </w:rPr>
              <w:t>3156582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931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Calibri" w:eastAsia="仿宋_GB2312" w:cs="黑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仿宋_GB2312" w:eastAsia="仿宋_GB2312"/>
                <w:color w:val="auto"/>
                <w:sz w:val="22"/>
                <w:highlight w:val="none"/>
              </w:rPr>
              <w:t>保障农民工工资支付条例</w:t>
            </w:r>
          </w:p>
        </w:tc>
        <w:tc>
          <w:tcPr>
            <w:tcW w:w="1373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Calibri" w:eastAsia="仿宋_GB2312" w:cs="黑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仿宋_GB2312" w:eastAsia="仿宋_GB2312"/>
                <w:color w:val="auto"/>
                <w:sz w:val="22"/>
                <w:highlight w:val="none"/>
              </w:rPr>
              <w:t>全市公民</w:t>
            </w:r>
          </w:p>
        </w:tc>
        <w:tc>
          <w:tcPr>
            <w:tcW w:w="2296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Calibri" w:eastAsia="仿宋_GB2312" w:cs="黑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仿宋_GB2312" w:eastAsia="仿宋_GB2312"/>
                <w:color w:val="auto"/>
                <w:sz w:val="22"/>
                <w:highlight w:val="none"/>
              </w:rPr>
              <w:t>市、县（区）司法局联合开展宣传活动</w:t>
            </w:r>
          </w:p>
        </w:tc>
        <w:tc>
          <w:tcPr>
            <w:tcW w:w="3069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仿宋_GB2312" w:hAnsi="Calibri" w:eastAsia="仿宋_GB2312" w:cs="黑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仿宋_GB2312" w:eastAsia="仿宋_GB2312"/>
                <w:color w:val="auto"/>
                <w:sz w:val="22"/>
                <w:highlight w:val="none"/>
              </w:rPr>
              <w:t>开展一次集中宣传</w:t>
            </w:r>
          </w:p>
        </w:tc>
        <w:tc>
          <w:tcPr>
            <w:tcW w:w="1489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2020年12月30日</w:t>
            </w:r>
          </w:p>
        </w:tc>
        <w:tc>
          <w:tcPr>
            <w:tcW w:w="923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公共法律服务科</w:t>
            </w:r>
            <w:r>
              <w:rPr>
                <w:rFonts w:hint="eastAsia" w:ascii="仿宋_GB2312" w:eastAsia="仿宋_GB2312"/>
                <w:color w:val="000000"/>
                <w:sz w:val="22"/>
                <w:lang w:eastAsia="zh-CN"/>
              </w:rPr>
              <w:t>（</w:t>
            </w:r>
            <w:r>
              <w:rPr>
                <w:rFonts w:ascii="仿宋_GB2312" w:eastAsia="仿宋_GB2312"/>
                <w:color w:val="000000"/>
                <w:sz w:val="22"/>
              </w:rPr>
              <w:t>市法律援助中心</w:t>
            </w:r>
            <w:r>
              <w:rPr>
                <w:rFonts w:hint="eastAsia" w:ascii="仿宋_GB2312" w:eastAsia="仿宋_GB2312"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1004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张立成</w:t>
            </w:r>
          </w:p>
        </w:tc>
        <w:tc>
          <w:tcPr>
            <w:tcW w:w="1569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0779-3156589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931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Calibri" w:eastAsia="仿宋_GB2312" w:cs="黑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/>
                <w:sz w:val="22"/>
                <w:lang w:eastAsia="zh-CN"/>
              </w:rPr>
              <w:t>《公证法》及公证相关业务</w:t>
            </w:r>
          </w:p>
        </w:tc>
        <w:tc>
          <w:tcPr>
            <w:tcW w:w="1373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ascii="仿宋_GB2312" w:hAnsi="Calibri" w:eastAsia="仿宋_GB2312" w:cs="黑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/>
                <w:sz w:val="22"/>
              </w:rPr>
              <w:t>社会公众</w:t>
            </w:r>
          </w:p>
        </w:tc>
        <w:tc>
          <w:tcPr>
            <w:tcW w:w="2296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ascii="仿宋_GB2312" w:hAnsi="Calibri" w:eastAsia="仿宋_GB2312" w:cs="黑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开展《</w:t>
            </w:r>
            <w:r>
              <w:rPr>
                <w:rFonts w:ascii="仿宋_GB2312" w:eastAsia="仿宋_GB2312"/>
                <w:color w:val="000000"/>
                <w:sz w:val="22"/>
              </w:rPr>
              <w:t>中华人民共和国公证</w:t>
            </w:r>
            <w:r>
              <w:rPr>
                <w:rFonts w:hint="eastAsia" w:ascii="仿宋_GB2312" w:eastAsia="仿宋_GB2312"/>
                <w:color w:val="000000"/>
                <w:sz w:val="22"/>
              </w:rPr>
              <w:t>法》宣传专项活动</w:t>
            </w:r>
          </w:p>
        </w:tc>
        <w:tc>
          <w:tcPr>
            <w:tcW w:w="3069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ascii="仿宋_GB2312" w:hAnsi="Calibri" w:eastAsia="仿宋_GB2312" w:cs="黑体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ascii="仿宋_GB2312" w:eastAsia="仿宋_GB2312"/>
                <w:sz w:val="22"/>
              </w:rPr>
              <w:t>开展1次集中宣传活动，集中宣传、发放资料、咨询解答</w:t>
            </w:r>
          </w:p>
        </w:tc>
        <w:tc>
          <w:tcPr>
            <w:tcW w:w="1489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2020年12月30日</w:t>
            </w:r>
          </w:p>
        </w:tc>
        <w:tc>
          <w:tcPr>
            <w:tcW w:w="923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公共法律服务科</w:t>
            </w:r>
          </w:p>
        </w:tc>
        <w:tc>
          <w:tcPr>
            <w:tcW w:w="1004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张立成</w:t>
            </w:r>
          </w:p>
        </w:tc>
        <w:tc>
          <w:tcPr>
            <w:tcW w:w="1569" w:type="dxa"/>
            <w:vAlign w:val="center"/>
          </w:tcPr>
          <w:p>
            <w:pPr>
              <w:tabs>
                <w:tab w:val="left" w:pos="2169"/>
              </w:tabs>
              <w:adjustRightInd w:val="0"/>
              <w:snapToGrid w:val="0"/>
              <w:spacing w:line="300" w:lineRule="exact"/>
              <w:jc w:val="center"/>
              <w:rPr>
                <w:rFonts w:ascii="仿宋_GB2312" w:hAnsi="Calibri" w:eastAsia="仿宋_GB2312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0779-3156589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</w:pPr>
    </w:p>
    <w:sectPr>
      <w:pgSz w:w="16838" w:h="11906" w:orient="landscape"/>
      <w:pgMar w:top="1134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076E65"/>
    <w:multiLevelType w:val="singleLevel"/>
    <w:tmpl w:val="8C076E6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3A56858"/>
    <w:multiLevelType w:val="singleLevel"/>
    <w:tmpl w:val="A3A5685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194DB4C"/>
    <w:multiLevelType w:val="multilevel"/>
    <w:tmpl w:val="3194DB4C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46A70566"/>
    <w:multiLevelType w:val="singleLevel"/>
    <w:tmpl w:val="46A705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D4212"/>
    <w:rsid w:val="100C6949"/>
    <w:rsid w:val="14832E3A"/>
    <w:rsid w:val="27957A5C"/>
    <w:rsid w:val="30931461"/>
    <w:rsid w:val="31E608C1"/>
    <w:rsid w:val="33BA5704"/>
    <w:rsid w:val="39E04071"/>
    <w:rsid w:val="477D4212"/>
    <w:rsid w:val="4B516140"/>
    <w:rsid w:val="57300BFD"/>
    <w:rsid w:val="588519D6"/>
    <w:rsid w:val="5FA96471"/>
    <w:rsid w:val="67C72267"/>
    <w:rsid w:val="689D2913"/>
    <w:rsid w:val="6BD92D71"/>
    <w:rsid w:val="77003F72"/>
    <w:rsid w:val="79655413"/>
    <w:rsid w:val="7C266F05"/>
    <w:rsid w:val="7D70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174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2020-04-23T02:45:00Z</dcterms:created>
  <dc:creator>黄媛</dc:creator>
  <cp:lastModifiedBy>陈树雄</cp:lastModifiedBy>
  <cp:lastPrinted>2020-05-21T03:54:59Z</cp:lastPrinted>
  <dcterms:modified xsi:type="dcterms:W3CDTF">2020-05-21T06:48:21Z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